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E3D67" w14:textId="77777777" w:rsidR="009235B6" w:rsidRDefault="009235B6"/>
    <w:p w14:paraId="689870B6" w14:textId="6891CAED" w:rsidR="00C82B87" w:rsidRDefault="00C82B87" w:rsidP="00C82B87">
      <w:pPr>
        <w:jc w:val="center"/>
        <w:rPr>
          <w:b/>
          <w:bCs/>
          <w:u w:val="single"/>
        </w:rPr>
      </w:pPr>
      <w:r>
        <w:rPr>
          <w:b/>
          <w:bCs/>
          <w:u w:val="single"/>
        </w:rPr>
        <w:t>Purchasing at UF – Part 2</w:t>
      </w:r>
    </w:p>
    <w:p w14:paraId="0C087E12" w14:textId="77777777" w:rsidR="00C82B87" w:rsidRDefault="00C82B87" w:rsidP="00C82B87">
      <w:pPr>
        <w:jc w:val="center"/>
        <w:rPr>
          <w:b/>
          <w:bCs/>
          <w:u w:val="single"/>
        </w:rPr>
      </w:pPr>
    </w:p>
    <w:p w14:paraId="119A7991" w14:textId="3BC14DDF" w:rsidR="00C82B87" w:rsidRPr="00C82B87" w:rsidRDefault="00C82B87" w:rsidP="00C82B87">
      <w:r w:rsidRPr="00C82B87">
        <w:rPr>
          <w:b/>
          <w:bCs/>
        </w:rPr>
        <w:t>Q: To c</w:t>
      </w:r>
      <w:r w:rsidRPr="008A51EA">
        <w:rPr>
          <w:b/>
          <w:bCs/>
        </w:rPr>
        <w:t>onfirm</w:t>
      </w:r>
      <w:r w:rsidRPr="00C82B87">
        <w:rPr>
          <w:b/>
          <w:bCs/>
        </w:rPr>
        <w:t>, the payment date will be based on</w:t>
      </w:r>
      <w:r w:rsidRPr="008A51EA">
        <w:rPr>
          <w:b/>
          <w:bCs/>
        </w:rPr>
        <w:t xml:space="preserve"> the</w:t>
      </w:r>
      <w:r w:rsidRPr="00C82B87">
        <w:rPr>
          <w:b/>
          <w:bCs/>
        </w:rPr>
        <w:t xml:space="preserve"> invoice </w:t>
      </w:r>
      <w:proofErr w:type="gramStart"/>
      <w:r w:rsidRPr="00C82B87">
        <w:rPr>
          <w:b/>
          <w:bCs/>
        </w:rPr>
        <w:t>received date</w:t>
      </w:r>
      <w:proofErr w:type="gramEnd"/>
      <w:r w:rsidRPr="00C82B87">
        <w:rPr>
          <w:b/>
          <w:bCs/>
        </w:rPr>
        <w:t xml:space="preserve">, not </w:t>
      </w:r>
      <w:r w:rsidR="04F274EA" w:rsidRPr="1126585F">
        <w:rPr>
          <w:b/>
          <w:bCs/>
        </w:rPr>
        <w:t>the</w:t>
      </w:r>
      <w:r w:rsidR="187D1E0B" w:rsidRPr="5DB2B409">
        <w:rPr>
          <w:b/>
          <w:bCs/>
        </w:rPr>
        <w:t xml:space="preserve"> </w:t>
      </w:r>
      <w:r w:rsidRPr="00C82B87">
        <w:rPr>
          <w:b/>
          <w:bCs/>
        </w:rPr>
        <w:t>date on the invoice?</w:t>
      </w:r>
    </w:p>
    <w:p w14:paraId="6E36580F" w14:textId="77777777" w:rsidR="00C82B87" w:rsidRPr="00C82B87" w:rsidRDefault="00C82B87" w:rsidP="00C82B87">
      <w:r w:rsidRPr="00C82B87">
        <w:t>Yes, this is an operational shift. Statute states that payment terms kick off when invoice/goods have been received.</w:t>
      </w:r>
    </w:p>
    <w:p w14:paraId="35DD33FB" w14:textId="77777777" w:rsidR="00C82B87" w:rsidRPr="00C82B87" w:rsidRDefault="00C82B87" w:rsidP="00C82B87">
      <w:r w:rsidRPr="00C82B87">
        <w:t> </w:t>
      </w:r>
    </w:p>
    <w:p w14:paraId="021FF9D5" w14:textId="77777777" w:rsidR="00C82B87" w:rsidRPr="00C82B87" w:rsidRDefault="00C82B87" w:rsidP="00C82B87">
      <w:r w:rsidRPr="00C82B87">
        <w:rPr>
          <w:b/>
          <w:bCs/>
        </w:rPr>
        <w:t>Q: Will suppliers be set up in Workday to account for suppliers that are not Net30 for payment? Or is that going away and everything will be Net30?</w:t>
      </w:r>
    </w:p>
    <w:p w14:paraId="1FC00519" w14:textId="65E921EE" w:rsidR="00C82B87" w:rsidRPr="00C82B87" w:rsidRDefault="00C82B87" w:rsidP="00C82B87">
      <w:r w:rsidRPr="00C82B87">
        <w:t>Payment terms default based on supplier set up. This supplier is defaulted Net30. We have other suppliers with different terms</w:t>
      </w:r>
      <w:r w:rsidRPr="008A51EA">
        <w:t>, such as</w:t>
      </w:r>
      <w:r w:rsidRPr="00C82B87">
        <w:t xml:space="preserve"> Net40, Net10, etc.</w:t>
      </w:r>
    </w:p>
    <w:p w14:paraId="249043B6" w14:textId="77777777" w:rsidR="00C82B87" w:rsidRPr="00C82B87" w:rsidRDefault="00C82B87" w:rsidP="00C82B87">
      <w:r w:rsidRPr="00C82B87">
        <w:t> </w:t>
      </w:r>
    </w:p>
    <w:p w14:paraId="4D826D5D" w14:textId="77BB1A57" w:rsidR="00C82B87" w:rsidRPr="00C82B87" w:rsidRDefault="00C82B87" w:rsidP="00C82B87">
      <w:r w:rsidRPr="00C82B87">
        <w:rPr>
          <w:b/>
          <w:bCs/>
        </w:rPr>
        <w:t xml:space="preserve">Q: Since payment is based on the </w:t>
      </w:r>
      <w:r w:rsidRPr="008A51EA">
        <w:rPr>
          <w:b/>
          <w:bCs/>
        </w:rPr>
        <w:t>i</w:t>
      </w:r>
      <w:r w:rsidRPr="00C82B87">
        <w:rPr>
          <w:b/>
          <w:bCs/>
        </w:rPr>
        <w:t xml:space="preserve">nvoice </w:t>
      </w:r>
      <w:r w:rsidRPr="008A51EA">
        <w:rPr>
          <w:b/>
          <w:bCs/>
        </w:rPr>
        <w:t>r</w:t>
      </w:r>
      <w:r w:rsidRPr="00C82B87">
        <w:rPr>
          <w:b/>
          <w:bCs/>
        </w:rPr>
        <w:t xml:space="preserve">eceived </w:t>
      </w:r>
      <w:r w:rsidRPr="008A51EA">
        <w:rPr>
          <w:b/>
          <w:bCs/>
        </w:rPr>
        <w:t>d</w:t>
      </w:r>
      <w:r w:rsidRPr="00C82B87">
        <w:rPr>
          <w:b/>
          <w:bCs/>
        </w:rPr>
        <w:t xml:space="preserve">ate, </w:t>
      </w:r>
      <w:r w:rsidRPr="008A51EA">
        <w:rPr>
          <w:b/>
          <w:bCs/>
        </w:rPr>
        <w:t>if</w:t>
      </w:r>
      <w:r w:rsidRPr="00C82B87">
        <w:rPr>
          <w:b/>
          <w:bCs/>
        </w:rPr>
        <w:t xml:space="preserve"> a faculty </w:t>
      </w:r>
      <w:r w:rsidRPr="008A51EA">
        <w:rPr>
          <w:b/>
          <w:bCs/>
        </w:rPr>
        <w:t xml:space="preserve">member </w:t>
      </w:r>
      <w:r w:rsidRPr="00C82B87">
        <w:rPr>
          <w:b/>
          <w:bCs/>
        </w:rPr>
        <w:t xml:space="preserve">received the invoice on 4/1, but did not give the invoice to the fiscal </w:t>
      </w:r>
      <w:r w:rsidRPr="008A51EA">
        <w:rPr>
          <w:b/>
          <w:bCs/>
        </w:rPr>
        <w:t>staff</w:t>
      </w:r>
      <w:r w:rsidRPr="00C82B87">
        <w:rPr>
          <w:b/>
          <w:bCs/>
        </w:rPr>
        <w:t xml:space="preserve"> until 4/7</w:t>
      </w:r>
      <w:r w:rsidRPr="008A51EA">
        <w:rPr>
          <w:b/>
          <w:bCs/>
        </w:rPr>
        <w:t>,</w:t>
      </w:r>
      <w:r w:rsidRPr="00C82B87">
        <w:rPr>
          <w:b/>
          <w:bCs/>
        </w:rPr>
        <w:t xml:space="preserve"> </w:t>
      </w:r>
      <w:r w:rsidRPr="008A51EA">
        <w:rPr>
          <w:b/>
          <w:bCs/>
        </w:rPr>
        <w:t>w</w:t>
      </w:r>
      <w:r w:rsidRPr="00C82B87">
        <w:rPr>
          <w:b/>
          <w:bCs/>
        </w:rPr>
        <w:t>hat would the invoice received date be?</w:t>
      </w:r>
    </w:p>
    <w:p w14:paraId="1FAA773B" w14:textId="4B69A0DA" w:rsidR="00C82B87" w:rsidRPr="00C82B87" w:rsidRDefault="00C82B87" w:rsidP="00C82B87">
      <w:r w:rsidRPr="00C82B87">
        <w:t>You should put the date the invoice was received by UF, so I would use 4/1. We will work with Core Office to make sure training materials are clear on UF's expectations.</w:t>
      </w:r>
    </w:p>
    <w:p w14:paraId="69ACE23B" w14:textId="77777777" w:rsidR="00C82B87" w:rsidRPr="00C82B87" w:rsidRDefault="00C82B87" w:rsidP="00C82B87">
      <w:r w:rsidRPr="00C82B87">
        <w:t> </w:t>
      </w:r>
    </w:p>
    <w:p w14:paraId="286FDC6F" w14:textId="77777777" w:rsidR="00C82B87" w:rsidRPr="00C82B87" w:rsidRDefault="00C82B87" w:rsidP="00C82B87">
      <w:r w:rsidRPr="00C82B87">
        <w:rPr>
          <w:b/>
          <w:bCs/>
        </w:rPr>
        <w:t>Q: Can you select another remittance address if there are multiple? (i.e., different divisions of a company)</w:t>
      </w:r>
    </w:p>
    <w:p w14:paraId="28031459" w14:textId="19513EF0" w:rsidR="00C82B87" w:rsidRPr="00C82B87" w:rsidRDefault="00C82B87" w:rsidP="008E3C44">
      <w:r w:rsidRPr="00C82B87">
        <w:t>Yes. Right now, we only have default addresses in the test environment. Additional addresses will be available for selection.</w:t>
      </w:r>
    </w:p>
    <w:p w14:paraId="19306663" w14:textId="77777777" w:rsidR="00C82B87" w:rsidRPr="00C82B87" w:rsidRDefault="00C82B87" w:rsidP="00C82B87">
      <w:r w:rsidRPr="00C82B87">
        <w:t> </w:t>
      </w:r>
    </w:p>
    <w:p w14:paraId="70D4A573" w14:textId="77777777" w:rsidR="00C82B87" w:rsidRPr="00C82B87" w:rsidRDefault="00C82B87" w:rsidP="00C82B87">
      <w:r w:rsidRPr="00C82B87">
        <w:rPr>
          <w:b/>
          <w:bCs/>
        </w:rPr>
        <w:t xml:space="preserve">Q: Will there be a terminology crosswalk for users for </w:t>
      </w:r>
      <w:proofErr w:type="spellStart"/>
      <w:r w:rsidRPr="00C82B87">
        <w:rPr>
          <w:b/>
          <w:bCs/>
        </w:rPr>
        <w:t>chartfields</w:t>
      </w:r>
      <w:proofErr w:type="spellEnd"/>
      <w:r w:rsidRPr="00C82B87">
        <w:rPr>
          <w:b/>
          <w:bCs/>
        </w:rPr>
        <w:t>/</w:t>
      </w:r>
      <w:proofErr w:type="spellStart"/>
      <w:r w:rsidRPr="00C82B87">
        <w:rPr>
          <w:b/>
          <w:bCs/>
        </w:rPr>
        <w:t>worktags</w:t>
      </w:r>
      <w:proofErr w:type="spellEnd"/>
      <w:r w:rsidRPr="00C82B87">
        <w:rPr>
          <w:b/>
          <w:bCs/>
        </w:rPr>
        <w:t xml:space="preserve"> as things switch over?</w:t>
      </w:r>
    </w:p>
    <w:p w14:paraId="28DC238A" w14:textId="77777777" w:rsidR="00C82B87" w:rsidRPr="00C82B87" w:rsidRDefault="00C82B87" w:rsidP="00C82B87">
      <w:r w:rsidRPr="00C82B87">
        <w:t>There are resources on the Empowering UF website that you can reference. We are working to keep the website updated with relevant resources as changes are made.</w:t>
      </w:r>
    </w:p>
    <w:p w14:paraId="204C3B3A" w14:textId="77777777" w:rsidR="00C82B87" w:rsidRPr="00C82B87" w:rsidRDefault="00C82B87" w:rsidP="00C82B87">
      <w:r w:rsidRPr="00C82B87">
        <w:t> </w:t>
      </w:r>
    </w:p>
    <w:p w14:paraId="2788EE99" w14:textId="16934747" w:rsidR="00C82B87" w:rsidRPr="00C82B87" w:rsidRDefault="00C82B87" w:rsidP="00C82B87">
      <w:r w:rsidRPr="00C82B87">
        <w:rPr>
          <w:b/>
          <w:bCs/>
        </w:rPr>
        <w:t>Q: Wh</w:t>
      </w:r>
      <w:r w:rsidR="008E3C44" w:rsidRPr="008A51EA">
        <w:rPr>
          <w:b/>
          <w:bCs/>
        </w:rPr>
        <w:t>y are</w:t>
      </w:r>
      <w:r w:rsidRPr="00C82B87">
        <w:rPr>
          <w:b/>
          <w:bCs/>
        </w:rPr>
        <w:t xml:space="preserve"> the</w:t>
      </w:r>
      <w:r w:rsidR="008E3C44" w:rsidRPr="008A51EA">
        <w:rPr>
          <w:b/>
          <w:bCs/>
        </w:rPr>
        <w:t>re</w:t>
      </w:r>
      <w:r w:rsidRPr="00C82B87">
        <w:rPr>
          <w:b/>
          <w:bCs/>
        </w:rPr>
        <w:t xml:space="preserve"> asterisks next to some of the categories if they are not required? </w:t>
      </w:r>
    </w:p>
    <w:p w14:paraId="4B3624D8" w14:textId="4BA68E06" w:rsidR="00C82B87" w:rsidRPr="00C82B87" w:rsidRDefault="00C82B87" w:rsidP="00C82B87">
      <w:r w:rsidRPr="00C82B87">
        <w:t xml:space="preserve">Workday allows us to put asterisks on some </w:t>
      </w:r>
      <w:r w:rsidR="008E3C44" w:rsidRPr="008A51EA">
        <w:t>categories that are not</w:t>
      </w:r>
      <w:r w:rsidRPr="00C82B87">
        <w:t xml:space="preserve"> required via validations (</w:t>
      </w:r>
      <w:r w:rsidR="5AA864BE">
        <w:t xml:space="preserve">rather </w:t>
      </w:r>
      <w:r w:rsidR="1C7074CF">
        <w:t>odd</w:t>
      </w:r>
      <w:r w:rsidRPr="00C82B87">
        <w:t>, we know). Regardless, transactions will not be able to be submitted unless the required fields are filled out.</w:t>
      </w:r>
    </w:p>
    <w:p w14:paraId="77305452" w14:textId="77777777" w:rsidR="00C82B87" w:rsidRPr="00C82B87" w:rsidRDefault="00C82B87" w:rsidP="00C82B87">
      <w:r w:rsidRPr="00C82B87">
        <w:lastRenderedPageBreak/>
        <w:t> </w:t>
      </w:r>
    </w:p>
    <w:p w14:paraId="141FD689" w14:textId="77777777" w:rsidR="00C82B87" w:rsidRPr="00C82B87" w:rsidRDefault="00C82B87" w:rsidP="00C82B87">
      <w:r w:rsidRPr="00C82B87">
        <w:rPr>
          <w:b/>
          <w:bCs/>
        </w:rPr>
        <w:t xml:space="preserve">Q: Will Workday let us use splits at the beginning that will apply to the entire order instead of having to do it per line item in the request? </w:t>
      </w:r>
    </w:p>
    <w:p w14:paraId="24760C47" w14:textId="772A4AF1" w:rsidR="00C82B87" w:rsidRPr="00C82B87" w:rsidRDefault="00C82B87" w:rsidP="00C82B87">
      <w:r w:rsidRPr="00C82B87">
        <w:t xml:space="preserve">Line level splits </w:t>
      </w:r>
      <w:proofErr w:type="gramStart"/>
      <w:r w:rsidRPr="00C82B87">
        <w:t>is</w:t>
      </w:r>
      <w:proofErr w:type="gramEnd"/>
      <w:r w:rsidRPr="00C82B87">
        <w:t xml:space="preserve"> what </w:t>
      </w:r>
      <w:r w:rsidR="008E3C44" w:rsidRPr="008A51EA">
        <w:t xml:space="preserve">we will have </w:t>
      </w:r>
      <w:r w:rsidRPr="00C82B87">
        <w:t>available</w:t>
      </w:r>
      <w:r w:rsidR="008E3C44" w:rsidRPr="008A51EA">
        <w:t xml:space="preserve"> to us</w:t>
      </w:r>
      <w:r w:rsidRPr="00C82B87">
        <w:t xml:space="preserve"> </w:t>
      </w:r>
      <w:proofErr w:type="gramStart"/>
      <w:r w:rsidRPr="00C82B87">
        <w:t>in</w:t>
      </w:r>
      <w:proofErr w:type="gramEnd"/>
      <w:r w:rsidRPr="00C82B87">
        <w:t xml:space="preserve"> Workday.</w:t>
      </w:r>
    </w:p>
    <w:p w14:paraId="5FC1D6B5" w14:textId="77777777" w:rsidR="00C82B87" w:rsidRPr="00C82B87" w:rsidRDefault="00C82B87" w:rsidP="00C82B87">
      <w:r w:rsidRPr="00C82B87">
        <w:t> </w:t>
      </w:r>
    </w:p>
    <w:p w14:paraId="2A56D292" w14:textId="1D506675" w:rsidR="00C82B87" w:rsidRPr="00C82B87" w:rsidRDefault="00C82B87" w:rsidP="00C82B87">
      <w:r w:rsidRPr="00C82B87">
        <w:rPr>
          <w:b/>
          <w:bCs/>
        </w:rPr>
        <w:t>Q: If we</w:t>
      </w:r>
      <w:r w:rsidR="003C6DB9" w:rsidRPr="008A51EA">
        <w:rPr>
          <w:b/>
          <w:bCs/>
        </w:rPr>
        <w:t xml:space="preserve"> a</w:t>
      </w:r>
      <w:r w:rsidRPr="00C82B87">
        <w:rPr>
          <w:b/>
          <w:bCs/>
        </w:rPr>
        <w:t xml:space="preserve">re using the invoice received date for payment terms instead of the </w:t>
      </w:r>
      <w:r w:rsidR="008E3C44" w:rsidRPr="008A51EA">
        <w:rPr>
          <w:b/>
          <w:bCs/>
        </w:rPr>
        <w:t>invoice</w:t>
      </w:r>
      <w:r w:rsidRPr="00C82B87">
        <w:rPr>
          <w:b/>
          <w:bCs/>
        </w:rPr>
        <w:t xml:space="preserve"> date, when a</w:t>
      </w:r>
      <w:r w:rsidR="003C6DB9" w:rsidRPr="008A51EA">
        <w:rPr>
          <w:b/>
          <w:bCs/>
        </w:rPr>
        <w:t>r</w:t>
      </w:r>
      <w:r w:rsidRPr="00C82B87">
        <w:rPr>
          <w:b/>
          <w:bCs/>
        </w:rPr>
        <w:t xml:space="preserve">e we changing the invoice date and </w:t>
      </w:r>
      <w:r w:rsidR="003C6DB9" w:rsidRPr="008A51EA">
        <w:rPr>
          <w:b/>
          <w:bCs/>
        </w:rPr>
        <w:t xml:space="preserve">would </w:t>
      </w:r>
      <w:r w:rsidRPr="00C82B87">
        <w:rPr>
          <w:b/>
          <w:bCs/>
        </w:rPr>
        <w:t>that change the payment date?</w:t>
      </w:r>
    </w:p>
    <w:p w14:paraId="5FD8E555" w14:textId="77777777" w:rsidR="00C82B87" w:rsidRPr="00C82B87" w:rsidRDefault="00C82B87" w:rsidP="00C82B87">
      <w:r w:rsidRPr="00C82B87">
        <w:t>The invoice received date and payment terms is what determines payment due date.</w:t>
      </w:r>
    </w:p>
    <w:p w14:paraId="6F95A31D" w14:textId="2433E7C0" w:rsidR="00C82B87" w:rsidRPr="00C82B87" w:rsidRDefault="00C82B87" w:rsidP="00C82B87">
      <w:r w:rsidRPr="00C82B87">
        <w:t>  </w:t>
      </w:r>
    </w:p>
    <w:p w14:paraId="5A9F8D90" w14:textId="77777777" w:rsidR="00C82B87" w:rsidRPr="00C82B87" w:rsidRDefault="00C82B87" w:rsidP="00C82B87">
      <w:r w:rsidRPr="00C82B87">
        <w:rPr>
          <w:b/>
          <w:bCs/>
        </w:rPr>
        <w:t>Q: What if an invoice is a foreign currency invoice (wire payment)?</w:t>
      </w:r>
    </w:p>
    <w:p w14:paraId="3606BB3C" w14:textId="392B4DF3" w:rsidR="00C82B87" w:rsidRPr="00C82B87" w:rsidRDefault="00C82B87" w:rsidP="00C82B87">
      <w:r w:rsidRPr="00C82B87">
        <w:t>We pay in USD currently, the people who are paid via wire will be settled on the payment side</w:t>
      </w:r>
      <w:r w:rsidR="003C6DB9" w:rsidRPr="008A51EA">
        <w:t>.</w:t>
      </w:r>
    </w:p>
    <w:p w14:paraId="3B49B22E" w14:textId="77777777" w:rsidR="00C82B87" w:rsidRPr="00C82B87" w:rsidRDefault="00C82B87" w:rsidP="00C82B87">
      <w:r w:rsidRPr="00C82B87">
        <w:t> </w:t>
      </w:r>
    </w:p>
    <w:p w14:paraId="15457032" w14:textId="77777777" w:rsidR="00C82B87" w:rsidRPr="00C82B87" w:rsidRDefault="00C82B87" w:rsidP="00C82B87">
      <w:r w:rsidRPr="00C82B87">
        <w:rPr>
          <w:b/>
          <w:bCs/>
        </w:rPr>
        <w:t xml:space="preserve">Q: Should non-PO invoices be sent directly to the department and then we submit the request, rather than </w:t>
      </w:r>
      <w:proofErr w:type="gramStart"/>
      <w:r w:rsidRPr="00C82B87">
        <w:rPr>
          <w:b/>
          <w:bCs/>
        </w:rPr>
        <w:t>sending</w:t>
      </w:r>
      <w:proofErr w:type="gramEnd"/>
      <w:r w:rsidRPr="00C82B87">
        <w:rPr>
          <w:b/>
          <w:bCs/>
        </w:rPr>
        <w:t xml:space="preserve"> to a central processing email where they upload the invoice and it is routed to us?</w:t>
      </w:r>
    </w:p>
    <w:p w14:paraId="23EDEDB5" w14:textId="1D359266" w:rsidR="00C82B87" w:rsidRPr="00C82B87" w:rsidRDefault="00C82B87" w:rsidP="00C82B87">
      <w:r w:rsidRPr="00C82B87">
        <w:t>Correct, non-PO invoices should be submitted to the department</w:t>
      </w:r>
      <w:r w:rsidR="008B5398" w:rsidRPr="008A51EA">
        <w:t>.</w:t>
      </w:r>
    </w:p>
    <w:p w14:paraId="79C4ED6D" w14:textId="77777777" w:rsidR="00C82B87" w:rsidRPr="00C82B87" w:rsidRDefault="00C82B87" w:rsidP="00C82B87">
      <w:r w:rsidRPr="00C82B87">
        <w:t> </w:t>
      </w:r>
    </w:p>
    <w:p w14:paraId="12D5630A" w14:textId="77777777" w:rsidR="00C82B87" w:rsidRPr="00C82B87" w:rsidRDefault="00C82B87" w:rsidP="00C82B87">
      <w:r w:rsidRPr="00C82B87">
        <w:rPr>
          <w:b/>
          <w:bCs/>
        </w:rPr>
        <w:t>Q: What memo will show up in the transaction details reports? (</w:t>
      </w:r>
      <w:proofErr w:type="gramStart"/>
      <w:r w:rsidRPr="00C82B87">
        <w:rPr>
          <w:b/>
          <w:bCs/>
        </w:rPr>
        <w:t>memo</w:t>
      </w:r>
      <w:proofErr w:type="gramEnd"/>
      <w:r w:rsidRPr="00C82B87">
        <w:rPr>
          <w:b/>
          <w:bCs/>
        </w:rPr>
        <w:t xml:space="preserve"> on first page, memo under billable or internal memo?</w:t>
      </w:r>
    </w:p>
    <w:p w14:paraId="1F45349A" w14:textId="77777777" w:rsidR="00C82B87" w:rsidRPr="00C82B87" w:rsidRDefault="00C82B87" w:rsidP="00C82B87">
      <w:r w:rsidRPr="00C82B87">
        <w:t>The header-level memo is what carries over into the report. The internal memo stays with the request.</w:t>
      </w:r>
    </w:p>
    <w:p w14:paraId="3CFFB3BD" w14:textId="77777777" w:rsidR="00C82B87" w:rsidRPr="00C82B87" w:rsidRDefault="00C82B87" w:rsidP="00C82B87">
      <w:r w:rsidRPr="00C82B87">
        <w:t> </w:t>
      </w:r>
    </w:p>
    <w:p w14:paraId="389F318D" w14:textId="1B6A4078" w:rsidR="00C82B87" w:rsidRPr="00C82B87" w:rsidRDefault="00C82B87" w:rsidP="00C82B87">
      <w:r w:rsidRPr="00C82B87">
        <w:rPr>
          <w:b/>
          <w:bCs/>
        </w:rPr>
        <w:t>Q: Will we be able see payment details for the invoice request (date sent, ACH totals, etc</w:t>
      </w:r>
      <w:r w:rsidR="28FABC29" w:rsidRPr="3DCE0C57">
        <w:rPr>
          <w:b/>
          <w:bCs/>
        </w:rPr>
        <w:t>.</w:t>
      </w:r>
      <w:r w:rsidRPr="3DCE0C57">
        <w:rPr>
          <w:b/>
          <w:bCs/>
        </w:rPr>
        <w:t>)</w:t>
      </w:r>
      <w:r w:rsidRPr="00C82B87">
        <w:rPr>
          <w:b/>
          <w:bCs/>
        </w:rPr>
        <w:t xml:space="preserve"> for supplier/dept payment inquiries?</w:t>
      </w:r>
    </w:p>
    <w:p w14:paraId="4E3CCA89" w14:textId="4ECCD78C" w:rsidR="00C82B87" w:rsidRPr="00C82B87" w:rsidRDefault="00C82B87" w:rsidP="00C82B87">
      <w:r w:rsidRPr="00C82B87">
        <w:t>This is the date the payment will go out</w:t>
      </w:r>
      <w:r w:rsidR="008B5398" w:rsidRPr="008A51EA">
        <w:t>.</w:t>
      </w:r>
      <w:r w:rsidRPr="00C82B87">
        <w:t xml:space="preserve"> </w:t>
      </w:r>
      <w:r w:rsidR="008B5398" w:rsidRPr="008A51EA">
        <w:t>It is unclear whether</w:t>
      </w:r>
      <w:r w:rsidRPr="00C82B87">
        <w:t xml:space="preserve"> you</w:t>
      </w:r>
      <w:r w:rsidR="008B5398" w:rsidRPr="008A51EA">
        <w:t xml:space="preserve"> wi</w:t>
      </w:r>
      <w:r w:rsidRPr="00C82B87">
        <w:t>ll see payment details on the invoice. Your request turns into an invoice, and that is where you will be able to see remittance details.</w:t>
      </w:r>
    </w:p>
    <w:p w14:paraId="0D32BB38" w14:textId="77777777" w:rsidR="00C82B87" w:rsidRPr="00C82B87" w:rsidRDefault="00C82B87" w:rsidP="00C82B87">
      <w:r w:rsidRPr="00C82B87">
        <w:t> </w:t>
      </w:r>
    </w:p>
    <w:p w14:paraId="6E4517D3" w14:textId="77777777" w:rsidR="00C82B87" w:rsidRPr="00C82B87" w:rsidRDefault="00C82B87" w:rsidP="00C82B87">
      <w:r w:rsidRPr="00C82B87">
        <w:rPr>
          <w:b/>
          <w:bCs/>
        </w:rPr>
        <w:t>Q: How do we link a received invoice to an existing PO?</w:t>
      </w:r>
    </w:p>
    <w:p w14:paraId="6BAFFA9A" w14:textId="38E2FC1D" w:rsidR="00C82B87" w:rsidRPr="00C82B87" w:rsidRDefault="00C82B87" w:rsidP="00C82B87">
      <w:r w:rsidRPr="00C82B87">
        <w:t xml:space="preserve">This is a different process </w:t>
      </w:r>
      <w:r w:rsidR="7C410D24">
        <w:t>and</w:t>
      </w:r>
      <w:r w:rsidR="008B5398" w:rsidRPr="008A51EA">
        <w:t xml:space="preserve"> was covered in </w:t>
      </w:r>
      <w:r w:rsidR="007C0CA7">
        <w:t xml:space="preserve">the </w:t>
      </w:r>
      <w:r w:rsidRPr="00C82B87">
        <w:t xml:space="preserve">previous </w:t>
      </w:r>
      <w:r w:rsidR="007C0CA7">
        <w:t xml:space="preserve">Purchasing at UF – Part 1 </w:t>
      </w:r>
      <w:r w:rsidRPr="00C82B87">
        <w:t>GBAS session.</w:t>
      </w:r>
      <w:r w:rsidR="008C12E2">
        <w:t xml:space="preserve"> Please see the March 18 demo for more information.</w:t>
      </w:r>
    </w:p>
    <w:p w14:paraId="2E95A0AB" w14:textId="02C229A6" w:rsidR="00C82B87" w:rsidRPr="00C82B87" w:rsidRDefault="00C82B87" w:rsidP="00C82B87">
      <w:r w:rsidRPr="00C82B87">
        <w:t>  </w:t>
      </w:r>
    </w:p>
    <w:p w14:paraId="3D418B46" w14:textId="77777777" w:rsidR="00C82B87" w:rsidRPr="00C82B87" w:rsidRDefault="00C82B87" w:rsidP="00C82B87">
      <w:r w:rsidRPr="00C82B87">
        <w:rPr>
          <w:b/>
          <w:bCs/>
        </w:rPr>
        <w:lastRenderedPageBreak/>
        <w:t>Q: For discrepancies identified by a cost center manager/approver, can the fields be adjusted directly, or does the invoice need to be sent back for corrections?</w:t>
      </w:r>
    </w:p>
    <w:p w14:paraId="5CB84900" w14:textId="15035D46" w:rsidR="00C160B5" w:rsidRPr="00C82B87" w:rsidRDefault="008B5398" w:rsidP="00C160B5">
      <w:r w:rsidRPr="008A51EA">
        <w:t>It n</w:t>
      </w:r>
      <w:r w:rsidR="00C82B87" w:rsidRPr="00C82B87">
        <w:t>eeds to be sent back for correction</w:t>
      </w:r>
      <w:r w:rsidRPr="008A51EA">
        <w:t>.</w:t>
      </w:r>
      <w:r w:rsidR="00C82B87" w:rsidRPr="00C82B87">
        <w:t xml:space="preserve"> </w:t>
      </w:r>
      <w:r w:rsidRPr="008A51EA">
        <w:t>T</w:t>
      </w:r>
      <w:r w:rsidR="00C82B87" w:rsidRPr="00C82B87">
        <w:t>he</w:t>
      </w:r>
      <w:r w:rsidR="00561C79">
        <w:t xml:space="preserve"> Purchasing at UF – Part 1 </w:t>
      </w:r>
      <w:r w:rsidR="00C82B87" w:rsidRPr="00C82B87">
        <w:t>GBAS session references the shift from approving and reviewing to reviewing or approving.</w:t>
      </w:r>
      <w:r w:rsidR="00C160B5">
        <w:t xml:space="preserve"> Please see the March 18 demo for more information.</w:t>
      </w:r>
    </w:p>
    <w:p w14:paraId="1BA1FA74" w14:textId="3D1E110F" w:rsidR="00C82B87" w:rsidRPr="00C82B87" w:rsidRDefault="00C82B87" w:rsidP="00C82B87"/>
    <w:p w14:paraId="301205AA" w14:textId="0ACE2A71" w:rsidR="00C82B87" w:rsidRPr="00C82B87" w:rsidRDefault="00C82B87" w:rsidP="00C82B87">
      <w:r w:rsidRPr="00C82B87">
        <w:rPr>
          <w:b/>
          <w:bCs/>
        </w:rPr>
        <w:t xml:space="preserve">Q: I am assuming that this </w:t>
      </w:r>
      <w:r w:rsidR="008B5398" w:rsidRPr="008A51EA">
        <w:rPr>
          <w:b/>
          <w:bCs/>
        </w:rPr>
        <w:t xml:space="preserve">workflow </w:t>
      </w:r>
      <w:r w:rsidRPr="00C82B87">
        <w:rPr>
          <w:b/>
          <w:bCs/>
        </w:rPr>
        <w:t xml:space="preserve">will replace our current system Concur and </w:t>
      </w:r>
      <w:proofErr w:type="spellStart"/>
      <w:r w:rsidRPr="00C82B87">
        <w:rPr>
          <w:b/>
          <w:bCs/>
        </w:rPr>
        <w:t>Pcard</w:t>
      </w:r>
      <w:proofErr w:type="spellEnd"/>
      <w:r w:rsidRPr="00C82B87">
        <w:rPr>
          <w:b/>
          <w:bCs/>
        </w:rPr>
        <w:t xml:space="preserve"> transaction reconciliation (verification) </w:t>
      </w:r>
      <w:r w:rsidR="008B5398" w:rsidRPr="008A51EA">
        <w:rPr>
          <w:b/>
          <w:bCs/>
        </w:rPr>
        <w:t xml:space="preserve">will </w:t>
      </w:r>
      <w:r w:rsidRPr="00C82B87">
        <w:rPr>
          <w:b/>
          <w:bCs/>
        </w:rPr>
        <w:t>require supervisor approval?</w:t>
      </w:r>
    </w:p>
    <w:p w14:paraId="3E701636" w14:textId="15B7A72B" w:rsidR="00C82B87" w:rsidRPr="00C82B87" w:rsidRDefault="00C82B87" w:rsidP="00C82B87">
      <w:r w:rsidRPr="00C82B87">
        <w:t>This is correct</w:t>
      </w:r>
      <w:r w:rsidR="54E69620">
        <w:t>.</w:t>
      </w:r>
      <w:r w:rsidRPr="00C82B87">
        <w:t xml:space="preserve"> </w:t>
      </w:r>
      <w:r w:rsidR="6EA48566">
        <w:t>I</w:t>
      </w:r>
      <w:r w:rsidRPr="00C82B87">
        <w:t xml:space="preserve">t is replacing Concur. </w:t>
      </w:r>
      <w:proofErr w:type="gramStart"/>
      <w:r w:rsidR="008B5398" w:rsidRPr="008A51EA">
        <w:t>T</w:t>
      </w:r>
      <w:r w:rsidRPr="00C82B87">
        <w:t>he commodity</w:t>
      </w:r>
      <w:proofErr w:type="gramEnd"/>
      <w:r w:rsidRPr="00C82B87">
        <w:t xml:space="preserve"> purchases will require financial approval.</w:t>
      </w:r>
    </w:p>
    <w:p w14:paraId="6D10EC15" w14:textId="77777777" w:rsidR="00C82B87" w:rsidRPr="00C82B87" w:rsidRDefault="00C82B87" w:rsidP="00C82B87">
      <w:r w:rsidRPr="00C82B87">
        <w:t> </w:t>
      </w:r>
    </w:p>
    <w:p w14:paraId="3D3DD2FF" w14:textId="77777777" w:rsidR="00C82B87" w:rsidRPr="00C82B87" w:rsidRDefault="00C82B87" w:rsidP="00C82B87">
      <w:r w:rsidRPr="00C82B87">
        <w:rPr>
          <w:b/>
          <w:bCs/>
        </w:rPr>
        <w:t>Q: What if the employee who did not provide a receipt is no longer with UF? Where does the acknowledgement route?</w:t>
      </w:r>
    </w:p>
    <w:p w14:paraId="07D453BC" w14:textId="33072AEC" w:rsidR="00C82B87" w:rsidRPr="00C82B87" w:rsidRDefault="00C82B87" w:rsidP="00C82B87">
      <w:r w:rsidRPr="00C82B87">
        <w:t>That acknowledgment is needed for it to move through. It will show up in the task box</w:t>
      </w:r>
      <w:r w:rsidR="008B5398" w:rsidRPr="008A51EA">
        <w:t xml:space="preserve"> for whoever the delegate assigned is.</w:t>
      </w:r>
    </w:p>
    <w:p w14:paraId="779D17A1" w14:textId="77777777" w:rsidR="00C82B87" w:rsidRPr="00C82B87" w:rsidRDefault="00C82B87" w:rsidP="00C82B87">
      <w:r w:rsidRPr="00C82B87">
        <w:t> </w:t>
      </w:r>
    </w:p>
    <w:p w14:paraId="60A06E80" w14:textId="6AD39AA7" w:rsidR="00C82B87" w:rsidRPr="00C82B87" w:rsidRDefault="00C82B87" w:rsidP="00C82B87">
      <w:r w:rsidRPr="00C82B87">
        <w:rPr>
          <w:b/>
          <w:bCs/>
        </w:rPr>
        <w:t xml:space="preserve">Q: </w:t>
      </w:r>
      <w:r w:rsidR="008B5398" w:rsidRPr="008A51EA">
        <w:rPr>
          <w:b/>
          <w:bCs/>
        </w:rPr>
        <w:t>W</w:t>
      </w:r>
      <w:r w:rsidRPr="00C82B87">
        <w:rPr>
          <w:b/>
          <w:bCs/>
        </w:rPr>
        <w:t xml:space="preserve">hen you reconcile your </w:t>
      </w:r>
      <w:proofErr w:type="spellStart"/>
      <w:r w:rsidRPr="00C82B87">
        <w:rPr>
          <w:b/>
          <w:bCs/>
        </w:rPr>
        <w:t>Pcard</w:t>
      </w:r>
      <w:proofErr w:type="spellEnd"/>
      <w:r w:rsidRPr="00C82B87">
        <w:rPr>
          <w:b/>
          <w:bCs/>
        </w:rPr>
        <w:t xml:space="preserve">, </w:t>
      </w:r>
      <w:r w:rsidR="008B5398" w:rsidRPr="008A51EA">
        <w:rPr>
          <w:b/>
          <w:bCs/>
        </w:rPr>
        <w:t>a</w:t>
      </w:r>
      <w:r w:rsidRPr="00C82B87">
        <w:rPr>
          <w:b/>
          <w:bCs/>
        </w:rPr>
        <w:t xml:space="preserve">re </w:t>
      </w:r>
      <w:r w:rsidR="008B5398" w:rsidRPr="008A51EA">
        <w:rPr>
          <w:b/>
          <w:bCs/>
        </w:rPr>
        <w:t>you reconciling</w:t>
      </w:r>
      <w:r w:rsidRPr="00C82B87">
        <w:rPr>
          <w:b/>
          <w:bCs/>
        </w:rPr>
        <w:t xml:space="preserve"> the total amount on your </w:t>
      </w:r>
      <w:proofErr w:type="spellStart"/>
      <w:r w:rsidRPr="00C82B87">
        <w:rPr>
          <w:b/>
          <w:bCs/>
        </w:rPr>
        <w:t>PCard</w:t>
      </w:r>
      <w:proofErr w:type="spellEnd"/>
      <w:r w:rsidRPr="00C82B87">
        <w:rPr>
          <w:b/>
          <w:bCs/>
        </w:rPr>
        <w:t xml:space="preserve"> </w:t>
      </w:r>
      <w:r w:rsidR="008B5398" w:rsidRPr="008A51EA">
        <w:rPr>
          <w:b/>
          <w:bCs/>
        </w:rPr>
        <w:t xml:space="preserve">before </w:t>
      </w:r>
      <w:r w:rsidRPr="00C82B87">
        <w:rPr>
          <w:b/>
          <w:bCs/>
        </w:rPr>
        <w:t>you break down the expenses of what was purchased in the transaction details?</w:t>
      </w:r>
    </w:p>
    <w:p w14:paraId="05BC1DD0" w14:textId="0465A11F" w:rsidR="00C82B87" w:rsidRPr="00C82B87" w:rsidRDefault="00C82B87" w:rsidP="00C82B87">
      <w:r w:rsidRPr="00C82B87">
        <w:t xml:space="preserve">Transactions load into Workday, you then </w:t>
      </w:r>
      <w:r w:rsidR="008B5398" w:rsidRPr="008A51EA">
        <w:t>can</w:t>
      </w:r>
      <w:r w:rsidRPr="00C82B87">
        <w:t xml:space="preserve"> reconcile </w:t>
      </w:r>
      <w:r w:rsidR="008B5398" w:rsidRPr="008A51EA">
        <w:t xml:space="preserve">the charge as a whole </w:t>
      </w:r>
      <w:r w:rsidRPr="00C82B87">
        <w:t xml:space="preserve">or itemize </w:t>
      </w:r>
      <w:r w:rsidR="008B5398" w:rsidRPr="008A51EA">
        <w:t>the transaction line-by-line, whichever</w:t>
      </w:r>
      <w:r w:rsidRPr="00C82B87">
        <w:t xml:space="preserve"> you choose. </w:t>
      </w:r>
    </w:p>
    <w:p w14:paraId="1CD06AF7" w14:textId="77777777" w:rsidR="00C82B87" w:rsidRPr="00C82B87" w:rsidRDefault="00C82B87" w:rsidP="00C82B87">
      <w:r w:rsidRPr="00C82B87">
        <w:t> </w:t>
      </w:r>
    </w:p>
    <w:p w14:paraId="02A43444" w14:textId="77777777" w:rsidR="00C82B87" w:rsidRPr="00C82B87" w:rsidRDefault="00C82B87" w:rsidP="00C82B87">
      <w:r w:rsidRPr="00C82B87">
        <w:rPr>
          <w:b/>
          <w:bCs/>
        </w:rPr>
        <w:t>Q: Is there a file limit size to the attached receipts?</w:t>
      </w:r>
    </w:p>
    <w:p w14:paraId="7075C075" w14:textId="29FB5143" w:rsidR="00C82B87" w:rsidRPr="00C82B87" w:rsidRDefault="00C82B87" w:rsidP="00C82B87">
      <w:r w:rsidRPr="00C82B87">
        <w:t>The limit</w:t>
      </w:r>
      <w:r w:rsidR="008B5398" w:rsidRPr="008A51EA">
        <w:t xml:space="preserve"> we have come across</w:t>
      </w:r>
      <w:r w:rsidRPr="00C82B87">
        <w:t xml:space="preserve"> is 30mbs</w:t>
      </w:r>
      <w:r w:rsidR="008B5398" w:rsidRPr="008A51EA">
        <w:t>.</w:t>
      </w:r>
    </w:p>
    <w:p w14:paraId="70654BB4" w14:textId="77777777" w:rsidR="00C82B87" w:rsidRPr="00C82B87" w:rsidRDefault="00C82B87" w:rsidP="00C82B87">
      <w:r w:rsidRPr="00C82B87">
        <w:t> </w:t>
      </w:r>
    </w:p>
    <w:p w14:paraId="79162B41" w14:textId="712BF142" w:rsidR="00C82B87" w:rsidRPr="00C82B87" w:rsidRDefault="00C82B87" w:rsidP="00C82B87">
      <w:r w:rsidRPr="00C82B87">
        <w:rPr>
          <w:b/>
          <w:bCs/>
        </w:rPr>
        <w:t xml:space="preserve">Q: Can we </w:t>
      </w:r>
      <w:r w:rsidR="008B5398" w:rsidRPr="008A51EA">
        <w:rPr>
          <w:b/>
          <w:bCs/>
        </w:rPr>
        <w:t>v</w:t>
      </w:r>
      <w:r w:rsidRPr="00C82B87">
        <w:rPr>
          <w:b/>
          <w:bCs/>
        </w:rPr>
        <w:t xml:space="preserve">erify for </w:t>
      </w:r>
      <w:r w:rsidR="008B5398" w:rsidRPr="008A51EA">
        <w:rPr>
          <w:b/>
          <w:bCs/>
        </w:rPr>
        <w:t>w</w:t>
      </w:r>
      <w:r w:rsidRPr="00C82B87">
        <w:rPr>
          <w:b/>
          <w:bCs/>
        </w:rPr>
        <w:t>orkers that are in different "companies"?</w:t>
      </w:r>
    </w:p>
    <w:p w14:paraId="628647FC" w14:textId="56DAA62D" w:rsidR="00C82B87" w:rsidRPr="00C82B87" w:rsidRDefault="008B5398" w:rsidP="00C82B87">
      <w:r w:rsidRPr="008A51EA">
        <w:t>A c</w:t>
      </w:r>
      <w:r w:rsidR="00C82B87" w:rsidRPr="00C82B87">
        <w:t xml:space="preserve">ompany is a legal </w:t>
      </w:r>
      <w:r w:rsidRPr="008A51EA">
        <w:t>entity</w:t>
      </w:r>
      <w:r w:rsidR="00C82B87" w:rsidRPr="00C82B87">
        <w:t xml:space="preserve">. If you are a procurement data specialist for multiple companies, you can change the company on the transaction line for the company you need to </w:t>
      </w:r>
      <w:r w:rsidRPr="008A51EA">
        <w:t>complete</w:t>
      </w:r>
      <w:r w:rsidR="00C82B87" w:rsidRPr="00C82B87">
        <w:t xml:space="preserve"> the reconciliation for. </w:t>
      </w:r>
    </w:p>
    <w:p w14:paraId="548473A0" w14:textId="77777777" w:rsidR="00C82B87" w:rsidRPr="00C82B87" w:rsidRDefault="00C82B87" w:rsidP="00C82B87">
      <w:r w:rsidRPr="00C82B87">
        <w:t> </w:t>
      </w:r>
    </w:p>
    <w:p w14:paraId="78549C3C" w14:textId="78A7C822" w:rsidR="00C82B87" w:rsidRPr="00C82B87" w:rsidRDefault="00C82B87" w:rsidP="00C82B87">
      <w:pPr>
        <w:rPr>
          <w:b/>
          <w:bCs/>
        </w:rPr>
      </w:pPr>
      <w:r w:rsidRPr="00C82B87">
        <w:rPr>
          <w:b/>
          <w:bCs/>
        </w:rPr>
        <w:t xml:space="preserve">Q: </w:t>
      </w:r>
      <w:r w:rsidR="008B5398" w:rsidRPr="008A51EA">
        <w:rPr>
          <w:b/>
          <w:bCs/>
        </w:rPr>
        <w:t>Will international transaction fees now be linked to the associated transaction so we can identify which fee belongs to which charge when there are multiple transactions with international fees? Currently, this is very difficult because the fees post separately as “International Transaction Fee” with only the amount shown.</w:t>
      </w:r>
    </w:p>
    <w:p w14:paraId="60FAA534" w14:textId="18A3873B" w:rsidR="00C82B87" w:rsidRPr="00C82B87" w:rsidRDefault="00C82B87" w:rsidP="00C82B87">
      <w:r w:rsidRPr="00C82B87">
        <w:t xml:space="preserve">We are </w:t>
      </w:r>
      <w:proofErr w:type="gramStart"/>
      <w:r w:rsidRPr="00C82B87">
        <w:t>pulling</w:t>
      </w:r>
      <w:proofErr w:type="gramEnd"/>
      <w:r w:rsidRPr="00C82B87">
        <w:t xml:space="preserve"> the bank details, so if the bank is pulling it as separate lines, we will too. </w:t>
      </w:r>
    </w:p>
    <w:p w14:paraId="23A3DB45" w14:textId="462D3F48" w:rsidR="00C82B87" w:rsidRPr="00C82B87" w:rsidRDefault="00C82B87" w:rsidP="00C82B87">
      <w:r w:rsidRPr="00C82B87">
        <w:lastRenderedPageBreak/>
        <w:t>  </w:t>
      </w:r>
    </w:p>
    <w:p w14:paraId="601FA47B" w14:textId="77777777" w:rsidR="00C82B87" w:rsidRPr="00C82B87" w:rsidRDefault="00C82B87" w:rsidP="00C82B87">
      <w:r w:rsidRPr="00C82B87">
        <w:rPr>
          <w:b/>
          <w:bCs/>
        </w:rPr>
        <w:t xml:space="preserve">Q: Can we create a commodity card reconciliation for an individual in the same department if they don't have a </w:t>
      </w:r>
      <w:proofErr w:type="spellStart"/>
      <w:r w:rsidRPr="00C82B87">
        <w:rPr>
          <w:b/>
          <w:bCs/>
        </w:rPr>
        <w:t>Pcard</w:t>
      </w:r>
      <w:proofErr w:type="spellEnd"/>
      <w:r w:rsidRPr="00C82B87">
        <w:rPr>
          <w:b/>
          <w:bCs/>
        </w:rPr>
        <w:t>?</w:t>
      </w:r>
    </w:p>
    <w:p w14:paraId="38F5E84A" w14:textId="77777777" w:rsidR="00C82B87" w:rsidRPr="00C82B87" w:rsidRDefault="00C82B87" w:rsidP="00C82B87">
      <w:r w:rsidRPr="00C82B87">
        <w:t xml:space="preserve">If they don't have a card, then there is nothing to reconcile. There won't be any charges to come through. </w:t>
      </w:r>
    </w:p>
    <w:p w14:paraId="4CDD1E0C" w14:textId="77777777" w:rsidR="00C82B87" w:rsidRPr="00C82B87" w:rsidRDefault="00C82B87" w:rsidP="00C82B87">
      <w:r w:rsidRPr="00C82B87">
        <w:t> </w:t>
      </w:r>
    </w:p>
    <w:p w14:paraId="59D690EB" w14:textId="5E6E94DC" w:rsidR="00C82B87" w:rsidRPr="00C82B87" w:rsidRDefault="00C82B87" w:rsidP="00C82B87">
      <w:pPr>
        <w:rPr>
          <w:b/>
          <w:bCs/>
        </w:rPr>
      </w:pPr>
      <w:r w:rsidRPr="00C82B87">
        <w:rPr>
          <w:b/>
          <w:bCs/>
        </w:rPr>
        <w:t xml:space="preserve">Q: </w:t>
      </w:r>
      <w:r w:rsidR="008A51EA" w:rsidRPr="008A51EA">
        <w:rPr>
          <w:b/>
          <w:bCs/>
        </w:rPr>
        <w:t>Will people be allowed to have one of each card type?</w:t>
      </w:r>
    </w:p>
    <w:p w14:paraId="17826A0E" w14:textId="77777777" w:rsidR="00C82B87" w:rsidRPr="00C82B87" w:rsidRDefault="00C82B87" w:rsidP="00C82B87">
      <w:r w:rsidRPr="00C82B87">
        <w:t xml:space="preserve">Yes, we expect this to be the case. More details on the exact card programs will work to come. </w:t>
      </w:r>
    </w:p>
    <w:p w14:paraId="012B5708" w14:textId="77777777" w:rsidR="00C82B87" w:rsidRPr="00C82B87" w:rsidRDefault="00C82B87" w:rsidP="00C82B87">
      <w:r w:rsidRPr="00C82B87">
        <w:t> </w:t>
      </w:r>
    </w:p>
    <w:p w14:paraId="76B68D5E" w14:textId="77777777" w:rsidR="00C82B87" w:rsidRPr="00C82B87" w:rsidRDefault="00C82B87" w:rsidP="00C82B87">
      <w:r w:rsidRPr="00C82B87">
        <w:rPr>
          <w:b/>
          <w:bCs/>
        </w:rPr>
        <w:t xml:space="preserve">Q: Can </w:t>
      </w:r>
      <w:proofErr w:type="spellStart"/>
      <w:r w:rsidRPr="00C82B87">
        <w:rPr>
          <w:b/>
          <w:bCs/>
        </w:rPr>
        <w:t>worktags</w:t>
      </w:r>
      <w:proofErr w:type="spellEnd"/>
      <w:r w:rsidRPr="00C82B87">
        <w:rPr>
          <w:b/>
          <w:bCs/>
        </w:rPr>
        <w:t xml:space="preserve"> be added for a group of transactions all at once, then individual details like business </w:t>
      </w:r>
      <w:proofErr w:type="gramStart"/>
      <w:r w:rsidRPr="00C82B87">
        <w:rPr>
          <w:b/>
          <w:bCs/>
        </w:rPr>
        <w:t>purpose</w:t>
      </w:r>
      <w:proofErr w:type="gramEnd"/>
      <w:r w:rsidRPr="00C82B87">
        <w:rPr>
          <w:b/>
          <w:bCs/>
        </w:rPr>
        <w:t xml:space="preserve"> or itemizations be modified separately?</w:t>
      </w:r>
    </w:p>
    <w:p w14:paraId="545A4995" w14:textId="333FBD09" w:rsidR="00C82B87" w:rsidRPr="00C82B87" w:rsidRDefault="00C82B87" w:rsidP="00C82B87">
      <w:r w:rsidRPr="00C82B87">
        <w:t xml:space="preserve">Different from an expense report, </w:t>
      </w:r>
      <w:proofErr w:type="spellStart"/>
      <w:r w:rsidRPr="00C82B87">
        <w:t>Pcard</w:t>
      </w:r>
      <w:proofErr w:type="spellEnd"/>
      <w:r w:rsidRPr="00C82B87">
        <w:t xml:space="preserve"> verification process is transaction-based. You verify the </w:t>
      </w:r>
      <w:r w:rsidR="008B5398" w:rsidRPr="008A51EA">
        <w:t>transactions and</w:t>
      </w:r>
      <w:r w:rsidRPr="00C82B87">
        <w:t xml:space="preserve"> </w:t>
      </w:r>
      <w:r w:rsidR="008B5398" w:rsidRPr="008A51EA">
        <w:t xml:space="preserve">verify </w:t>
      </w:r>
      <w:proofErr w:type="gramStart"/>
      <w:r w:rsidR="008B5398" w:rsidRPr="008A51EA">
        <w:t>it</w:t>
      </w:r>
      <w:proofErr w:type="gramEnd"/>
      <w:r w:rsidR="008B5398" w:rsidRPr="008A51EA">
        <w:t xml:space="preserve"> </w:t>
      </w:r>
      <w:r w:rsidRPr="00C82B87">
        <w:t xml:space="preserve">line-by-line if needed. You </w:t>
      </w:r>
      <w:r w:rsidR="008B5398" w:rsidRPr="008A51EA">
        <w:t>can</w:t>
      </w:r>
      <w:r w:rsidRPr="00C82B87">
        <w:t xml:space="preserve"> do either.</w:t>
      </w:r>
    </w:p>
    <w:p w14:paraId="77A0CFA3" w14:textId="77777777" w:rsidR="00C82B87" w:rsidRPr="00C82B87" w:rsidRDefault="00C82B87" w:rsidP="00C82B87"/>
    <w:sectPr w:rsidR="00C82B87" w:rsidRPr="00C82B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B87"/>
    <w:rsid w:val="00033364"/>
    <w:rsid w:val="00075C33"/>
    <w:rsid w:val="000C725D"/>
    <w:rsid w:val="000D2A69"/>
    <w:rsid w:val="0010158C"/>
    <w:rsid w:val="001100AC"/>
    <w:rsid w:val="00111788"/>
    <w:rsid w:val="0013376A"/>
    <w:rsid w:val="00261994"/>
    <w:rsid w:val="002B11FB"/>
    <w:rsid w:val="002C3A34"/>
    <w:rsid w:val="002C6245"/>
    <w:rsid w:val="00315788"/>
    <w:rsid w:val="00350B10"/>
    <w:rsid w:val="003C6DB9"/>
    <w:rsid w:val="00527E79"/>
    <w:rsid w:val="0053629C"/>
    <w:rsid w:val="00561C79"/>
    <w:rsid w:val="006D0B6D"/>
    <w:rsid w:val="0074140E"/>
    <w:rsid w:val="007A25E3"/>
    <w:rsid w:val="007C0CA7"/>
    <w:rsid w:val="00895AB9"/>
    <w:rsid w:val="008A51EA"/>
    <w:rsid w:val="008B5398"/>
    <w:rsid w:val="008C12E2"/>
    <w:rsid w:val="008C16BA"/>
    <w:rsid w:val="008E3C44"/>
    <w:rsid w:val="009235B6"/>
    <w:rsid w:val="009A0DEC"/>
    <w:rsid w:val="00A96F30"/>
    <w:rsid w:val="00B22728"/>
    <w:rsid w:val="00C15957"/>
    <w:rsid w:val="00C160B5"/>
    <w:rsid w:val="00C4407B"/>
    <w:rsid w:val="00C62A08"/>
    <w:rsid w:val="00C82B87"/>
    <w:rsid w:val="00C8596E"/>
    <w:rsid w:val="00CB1719"/>
    <w:rsid w:val="00D1700E"/>
    <w:rsid w:val="00D73A39"/>
    <w:rsid w:val="00DD6468"/>
    <w:rsid w:val="00DE115E"/>
    <w:rsid w:val="00E90194"/>
    <w:rsid w:val="00EF2E72"/>
    <w:rsid w:val="00F61B33"/>
    <w:rsid w:val="00F66149"/>
    <w:rsid w:val="00FD0263"/>
    <w:rsid w:val="04F274EA"/>
    <w:rsid w:val="0A3D755D"/>
    <w:rsid w:val="0E55200E"/>
    <w:rsid w:val="0EFCECA8"/>
    <w:rsid w:val="1126585F"/>
    <w:rsid w:val="187D1E0B"/>
    <w:rsid w:val="1C7074CF"/>
    <w:rsid w:val="1D35DF4A"/>
    <w:rsid w:val="26EDD5CE"/>
    <w:rsid w:val="28FABC29"/>
    <w:rsid w:val="2C84FF10"/>
    <w:rsid w:val="3401BBCF"/>
    <w:rsid w:val="3B29E1B1"/>
    <w:rsid w:val="3DCE0C57"/>
    <w:rsid w:val="43C797A1"/>
    <w:rsid w:val="4C8D5E63"/>
    <w:rsid w:val="54C006D8"/>
    <w:rsid w:val="54E69620"/>
    <w:rsid w:val="5755C7E0"/>
    <w:rsid w:val="5AA864BE"/>
    <w:rsid w:val="5DB2B409"/>
    <w:rsid w:val="65596818"/>
    <w:rsid w:val="6B28CA02"/>
    <w:rsid w:val="6EA48566"/>
    <w:rsid w:val="6F8FF87C"/>
    <w:rsid w:val="7045D92A"/>
    <w:rsid w:val="738CA934"/>
    <w:rsid w:val="7C410D24"/>
    <w:rsid w:val="7EA57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E727C"/>
  <w15:chartTrackingRefBased/>
  <w15:docId w15:val="{63586C37-179C-4674-ADA7-D237CE4C5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2B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2B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2B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B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2B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2B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B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B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B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B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2B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2B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B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2B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2B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B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B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B87"/>
    <w:rPr>
      <w:rFonts w:eastAsiaTheme="majorEastAsia" w:cstheme="majorBidi"/>
      <w:color w:val="272727" w:themeColor="text1" w:themeTint="D8"/>
    </w:rPr>
  </w:style>
  <w:style w:type="paragraph" w:styleId="Title">
    <w:name w:val="Title"/>
    <w:basedOn w:val="Normal"/>
    <w:next w:val="Normal"/>
    <w:link w:val="TitleChar"/>
    <w:uiPriority w:val="10"/>
    <w:qFormat/>
    <w:rsid w:val="00C82B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B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B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B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B87"/>
    <w:pPr>
      <w:spacing w:before="160"/>
      <w:jc w:val="center"/>
    </w:pPr>
    <w:rPr>
      <w:i/>
      <w:iCs/>
      <w:color w:val="404040" w:themeColor="text1" w:themeTint="BF"/>
    </w:rPr>
  </w:style>
  <w:style w:type="character" w:customStyle="1" w:styleId="QuoteChar">
    <w:name w:val="Quote Char"/>
    <w:basedOn w:val="DefaultParagraphFont"/>
    <w:link w:val="Quote"/>
    <w:uiPriority w:val="29"/>
    <w:rsid w:val="00C82B87"/>
    <w:rPr>
      <w:i/>
      <w:iCs/>
      <w:color w:val="404040" w:themeColor="text1" w:themeTint="BF"/>
    </w:rPr>
  </w:style>
  <w:style w:type="paragraph" w:styleId="ListParagraph">
    <w:name w:val="List Paragraph"/>
    <w:basedOn w:val="Normal"/>
    <w:uiPriority w:val="34"/>
    <w:qFormat/>
    <w:rsid w:val="00C82B87"/>
    <w:pPr>
      <w:ind w:left="720"/>
      <w:contextualSpacing/>
    </w:pPr>
  </w:style>
  <w:style w:type="character" w:styleId="IntenseEmphasis">
    <w:name w:val="Intense Emphasis"/>
    <w:basedOn w:val="DefaultParagraphFont"/>
    <w:uiPriority w:val="21"/>
    <w:qFormat/>
    <w:rsid w:val="00C82B87"/>
    <w:rPr>
      <w:i/>
      <w:iCs/>
      <w:color w:val="0F4761" w:themeColor="accent1" w:themeShade="BF"/>
    </w:rPr>
  </w:style>
  <w:style w:type="paragraph" w:styleId="IntenseQuote">
    <w:name w:val="Intense Quote"/>
    <w:basedOn w:val="Normal"/>
    <w:next w:val="Normal"/>
    <w:link w:val="IntenseQuoteChar"/>
    <w:uiPriority w:val="30"/>
    <w:qFormat/>
    <w:rsid w:val="00C82B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B87"/>
    <w:rPr>
      <w:i/>
      <w:iCs/>
      <w:color w:val="0F4761" w:themeColor="accent1" w:themeShade="BF"/>
    </w:rPr>
  </w:style>
  <w:style w:type="character" w:styleId="IntenseReference">
    <w:name w:val="Intense Reference"/>
    <w:basedOn w:val="DefaultParagraphFont"/>
    <w:uiPriority w:val="32"/>
    <w:qFormat/>
    <w:rsid w:val="00C82B87"/>
    <w:rPr>
      <w:b/>
      <w:bCs/>
      <w:smallCaps/>
      <w:color w:val="0F4761" w:themeColor="accent1" w:themeShade="BF"/>
      <w:spacing w:val="5"/>
    </w:rPr>
  </w:style>
  <w:style w:type="paragraph" w:styleId="CommentText">
    <w:name w:val="annotation text"/>
    <w:basedOn w:val="Normal"/>
    <w:link w:val="CommentTextChar"/>
    <w:uiPriority w:val="99"/>
    <w:semiHidden/>
    <w:unhideWhenUsed/>
    <w:rsid w:val="00315788"/>
    <w:pPr>
      <w:spacing w:line="240" w:lineRule="auto"/>
    </w:pPr>
    <w:rPr>
      <w:sz w:val="20"/>
      <w:szCs w:val="20"/>
    </w:rPr>
  </w:style>
  <w:style w:type="character" w:customStyle="1" w:styleId="CommentTextChar">
    <w:name w:val="Comment Text Char"/>
    <w:basedOn w:val="DefaultParagraphFont"/>
    <w:link w:val="CommentText"/>
    <w:uiPriority w:val="99"/>
    <w:semiHidden/>
    <w:rsid w:val="00315788"/>
    <w:rPr>
      <w:sz w:val="20"/>
      <w:szCs w:val="20"/>
    </w:rPr>
  </w:style>
  <w:style w:type="character" w:styleId="CommentReference">
    <w:name w:val="annotation reference"/>
    <w:basedOn w:val="DefaultParagraphFont"/>
    <w:uiPriority w:val="99"/>
    <w:semiHidden/>
    <w:unhideWhenUsed/>
    <w:rsid w:val="0031578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C25DE3838B4E40BDBB0C279916998A" ma:contentTypeVersion="24" ma:contentTypeDescription="Create a new document." ma:contentTypeScope="" ma:versionID="528d00586e1948fe9503ecda545394e2">
  <xsd:schema xmlns:xsd="http://www.w3.org/2001/XMLSchema" xmlns:xs="http://www.w3.org/2001/XMLSchema" xmlns:p="http://schemas.microsoft.com/office/2006/metadata/properties" xmlns:ns1="http://schemas.microsoft.com/sharepoint/v3" xmlns:ns2="79d68322-8104-4e11-afee-fa348f46e5aa" xmlns:ns3="28d56514-78b8-4565-8004-f0029be60bdf" targetNamespace="http://schemas.microsoft.com/office/2006/metadata/properties" ma:root="true" ma:fieldsID="fb0ca316ba0408880609631fd73667d1" ns1:_="" ns2:_="" ns3:_="">
    <xsd:import namespace="http://schemas.microsoft.com/sharepoint/v3"/>
    <xsd:import namespace="79d68322-8104-4e11-afee-fa348f46e5aa"/>
    <xsd:import namespace="28d56514-78b8-4565-8004-f0029be60b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martsheet"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1:AverageRating" minOccurs="0"/>
                <xsd:element ref="ns1:RatingCount" minOccurs="0"/>
                <xsd:element ref="ns1:RatedBy" minOccurs="0"/>
                <xsd:element ref="ns1:Ratings" minOccurs="0"/>
                <xsd:element ref="ns1:LikesCount" minOccurs="0"/>
                <xsd:element ref="ns1:LikedBy" minOccurs="0"/>
                <xsd:element ref="ns2:Status" minOccurs="0"/>
                <xsd:element ref="ns2:Academ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3" nillable="true" ma:displayName="Rating (0-5)" ma:decimals="2" ma:description="Average value of all the ratings that have been submitted" ma:internalName="AverageRating" ma:readOnly="true">
      <xsd:simpleType>
        <xsd:restriction base="dms:Number"/>
      </xsd:simpleType>
    </xsd:element>
    <xsd:element name="RatingCount" ma:index="24" nillable="true" ma:displayName="Number of Ratings" ma:decimals="0" ma:description="Number of ratings submitted" ma:internalName="RatingCount" ma:readOnly="true">
      <xsd:simpleType>
        <xsd:restriction base="dms:Number"/>
      </xsd:simpleType>
    </xsd:element>
    <xsd:element name="RatedBy" ma:index="25"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6" nillable="true" ma:displayName="User ratings" ma:description="User ratings for the item" ma:hidden="true" ma:internalName="Ratings">
      <xsd:simpleType>
        <xsd:restriction base="dms:Note"/>
      </xsd:simpleType>
    </xsd:element>
    <xsd:element name="LikesCount" ma:index="27" nillable="true" ma:displayName="Number of Likes" ma:internalName="LikesCount">
      <xsd:simpleType>
        <xsd:restriction base="dms:Unknown"/>
      </xsd:simpleType>
    </xsd:element>
    <xsd:element name="LikedBy" ma:index="28"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d68322-8104-4e11-afee-fa348f46e5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martsheet" ma:index="12" nillable="true" ma:displayName="Smartsheet" ma:description="Action Items" ma:format="Hyperlink" ma:internalName="Smartsheet">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Status" ma:index="29" nillable="true" ma:displayName="Status" ma:default="Empowering Team's Desk" ma:format="Dropdown" ma:internalName="Status">
      <xsd:simpleType>
        <xsd:restriction base="dms:Choice">
          <xsd:enumeration value="Empowering Team's Desk"/>
          <xsd:enumeration value="Sent to HRL"/>
          <xsd:enumeration value="Under Review"/>
          <xsd:enumeration value="Ready"/>
        </xsd:restriction>
      </xsd:simpleType>
    </xsd:element>
    <xsd:element name="Academic" ma:index="30" nillable="true" ma:displayName="Academic" ma:format="Dropdown" ma:internalName="Academic">
      <xsd:simpleType>
        <xsd:restriction base="dms:Choice">
          <xsd:enumeration value="Completed"/>
          <xsd:enumeration value="In Review"/>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28d56514-78b8-4565-8004-f0029be60bd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dfa6ea9-ce98-41b4-bcbe-9e229a6519d9}" ma:internalName="TaxCatchAll" ma:showField="CatchAllData" ma:web="28d56514-78b8-4565-8004-f0029be60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martsheet xmlns="79d68322-8104-4e11-afee-fa348f46e5aa">
      <Url xsi:nil="true"/>
      <Description xsi:nil="true"/>
    </Smartsheet>
    <LikesCount xmlns="http://schemas.microsoft.com/sharepoint/v3" xsi:nil="true"/>
    <Ratings xmlns="http://schemas.microsoft.com/sharepoint/v3" xsi:nil="true"/>
    <LikedBy xmlns="http://schemas.microsoft.com/sharepoint/v3">
      <UserInfo>
        <DisplayName/>
        <AccountId xsi:nil="true"/>
        <AccountType/>
      </UserInfo>
    </LikedBy>
    <TaxCatchAll xmlns="28d56514-78b8-4565-8004-f0029be60bdf"/>
    <Status xmlns="79d68322-8104-4e11-afee-fa348f46e5aa">Empowering Team's Desk</Status>
    <Academic xmlns="79d68322-8104-4e11-afee-fa348f46e5aa" xsi:nil="true"/>
    <lcf76f155ced4ddcb4097134ff3c332f xmlns="79d68322-8104-4e11-afee-fa348f46e5aa">
      <Terms xmlns="http://schemas.microsoft.com/office/infopath/2007/PartnerControls"/>
    </lcf76f155ced4ddcb4097134ff3c332f>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6920AFBA-9B52-4E0D-A9F4-6C873970D3C9}">
  <ds:schemaRefs>
    <ds:schemaRef ds:uri="http://schemas.microsoft.com/sharepoint/v3/contenttype/forms"/>
  </ds:schemaRefs>
</ds:datastoreItem>
</file>

<file path=customXml/itemProps2.xml><?xml version="1.0" encoding="utf-8"?>
<ds:datastoreItem xmlns:ds="http://schemas.openxmlformats.org/officeDocument/2006/customXml" ds:itemID="{CB38BBCE-1A1B-4722-ADD2-10E0138F5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d68322-8104-4e11-afee-fa348f46e5aa"/>
    <ds:schemaRef ds:uri="28d56514-78b8-4565-8004-f0029be60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769A7C-E38F-40EE-8F53-6AF1F7A36A3A}">
  <ds:schemaRefs>
    <ds:schemaRef ds:uri="http://purl.org/dc/dcmitype/"/>
    <ds:schemaRef ds:uri="79d68322-8104-4e11-afee-fa348f46e5aa"/>
    <ds:schemaRef ds:uri="http://purl.org/dc/elements/1.1/"/>
    <ds:schemaRef ds:uri="http://schemas.microsoft.com/sharepoint/v3"/>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28d56514-78b8-4565-8004-f0029be60bdf"/>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910</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Madeline D.</dc:creator>
  <cp:keywords/>
  <dc:description/>
  <cp:lastModifiedBy>Bennett, Madeline D.</cp:lastModifiedBy>
  <cp:revision>2</cp:revision>
  <dcterms:created xsi:type="dcterms:W3CDTF">2026-04-17T15:26:00Z</dcterms:created>
  <dcterms:modified xsi:type="dcterms:W3CDTF">2026-04-17T15:26:00Z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0x01010019C25DE3838B4E40BDBB0C279916998A</vt:lpwstr>
  </property>
  <property fmtid="{D5CDD505-2E9C-101B-9397-08002B2CF9AE}" pid="3" name="MediaServiceImageTags">
    <vt:lpwstr/>
  </property>
</Properties>
</file>